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43650819e5f4e56"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7690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DOM ZA PSIHIČKI BOLESNE ODRASLE OSOBE MOTOVUN</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11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591.890,84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651.110,59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587.722,63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724.919,52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73.808,93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PRIHODA OD NEFINANCIJSKE IMOVINE (šifre 7-4,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X002, 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73.808,93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Style w:val="Normal"/>
        <w:spacing w:line="240" w:lineRule="auto"/>
      </w:pPr>
      <w:r>
        <w:rPr>
          <w:sz w:val="24"/>
          <w:rFonts w:ascii="Times New Roman" w:hAnsi="Times New Roman"/>
        </w:rPr>
        <w:t>Ukupno ostvareni prihodi i primici za razdoblje od 01. siječnja do 30. lipnja 2025. godine iznose 651.110,59 eura, dok ukupno ostvareni rashodi poslovanja 724.919,52 eura. 
Prosječan broj zaposlenih na osnovi sati rada je 31 radnik, a na osnovi stanja krajem izvještajnog razdoblja je 35 radnika.
U ustanovi za isti period prosječno je bio smješten 81 korisnik.
</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pPr>
        <w:jc w:val="both"/>
        <w:pStyle w:val="Normal"/>
        <w:spacing w:line="240" w:lineRule="auto"/>
      </w:pPr>
      <w:r>
        <w:rPr>
          <w:sz w:val="24"/>
          <w:rFonts w:ascii="Times New Roman" w:hAnsi="Times New Roman"/>
        </w:rPr>
        <w:t>Jednake su kao u prethodnom razdoblju, a koriste se za dodatne mjere zdravstvene zaštite.</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142.107,12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125.709,30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88,5</w:t>
            </w:r>
          </w:p>
        </w:tc>
      </w:tr>
    </w:tbl>
    <w:p>
      <w:pPr>
        <w:spacing w:before="0" w:after="0"/>
      </w:pPr>
    </w:p>
    <w:p>
      <w:pPr>
        <w:jc w:val="both"/>
        <w:pStyle w:val="Normal"/>
        <w:spacing w:line="240" w:lineRule="auto"/>
      </w:pPr>
      <w:r>
        <w:rPr>
          <w:sz w:val="24"/>
          <w:rFonts w:ascii="Times New Roman" w:hAnsi="Times New Roman"/>
        </w:rPr>
        <w:t>Manji su u odnosu na prethodno razdoblje za 16.397,82 eura ili 11,5% zbog manjeg broja smještenih korisnika. </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446.883,72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522.501,29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116,9</w:t>
            </w:r>
          </w:p>
        </w:tc>
      </w:tr>
    </w:tbl>
    <w:p>
      <w:pPr>
        <w:spacing w:before="0" w:after="0"/>
      </w:pPr>
    </w:p>
    <w:p>
      <w:pPr>
        <w:jc w:val="both"/>
        <w:pStyle w:val="Normal"/>
        <w:spacing w:line="240" w:lineRule="auto"/>
      </w:pPr>
      <w:r>
        <w:rPr>
          <w:sz w:val="24"/>
          <w:rFonts w:ascii="Times New Roman" w:hAnsi="Times New Roman"/>
        </w:rPr>
        <w:t>Veći su u odnosu na prethodno razdoblje za 75.617,57 eura ili 16,9% zbog rasta cijena na tržištu i zbog smanjenog prihoda na IF 43 više se koristi IF 11.</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272.448,06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366.795,38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134,6</w:t>
            </w:r>
          </w:p>
        </w:tc>
      </w:tr>
    </w:tbl>
    <w:p>
      <w:pPr>
        <w:spacing w:before="0" w:after="0"/>
      </w:pPr>
    </w:p>
    <w:p>
      <w:pPr>
        <w:jc w:val="both"/>
        <w:pStyle w:val="Normal"/>
        <w:spacing w:line="240" w:lineRule="auto"/>
      </w:pPr>
      <w:r>
        <w:rPr>
          <w:sz w:val="24"/>
          <w:rFonts w:ascii="Times New Roman" w:hAnsi="Times New Roman"/>
        </w:rPr>
        <w:t>Veće su u odnosu na prethodno razdoblje za 45.276,59 eura ili 14,1%, (u prethodnom razdoblju trošak je knjižen na 19 Rashodi budućih razdoblja, koji se više ne koristi).</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posebne uvjete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39.552,66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31.876,00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80,6</w:t>
            </w:r>
          </w:p>
        </w:tc>
      </w:tr>
    </w:tbl>
    <w:p>
      <w:pPr>
        <w:spacing w:before="0" w:after="0"/>
      </w:pPr>
    </w:p>
    <w:p>
      <w:pPr>
        <w:jc w:val="both"/>
        <w:pStyle w:val="Normal"/>
        <w:spacing w:line="240" w:lineRule="auto"/>
      </w:pPr>
      <w:r>
        <w:rPr>
          <w:sz w:val="24"/>
          <w:rFonts w:ascii="Times New Roman" w:hAnsi="Times New Roman"/>
        </w:rPr>
        <w:t>Manje su u odnosu na prethodno razdoblje za 11.291,06 eura ili 26,1% zbog smanjenog broja zaposlenih radnika (u prethodnom razdoblju trošak je knjižen na 193 Rashodi budućih razdoblja, koji se više ne koristi).</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13.761,63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24.275,77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176,4</w:t>
            </w:r>
          </w:p>
        </w:tc>
      </w:tr>
    </w:tbl>
    <w:p>
      <w:pPr>
        <w:spacing w:before="0" w:after="0"/>
      </w:pPr>
    </w:p>
    <w:p>
      <w:pPr>
        <w:jc w:val="both"/>
        <w:pStyle w:val="Normal"/>
        <w:spacing w:line="240" w:lineRule="auto"/>
      </w:pPr>
      <w:r>
        <w:rPr>
          <w:sz w:val="24"/>
          <w:rFonts w:ascii="Times New Roman" w:hAnsi="Times New Roman"/>
        </w:rPr>
        <w:t>Veći su u odnosu na prethodno razdoblje za 10.514,14 eura ili 76,4%, više je jubilarnih nagrada i otpremnina za odlazak u mirovinu.</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48.790,85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65.780,88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134,8</w:t>
            </w:r>
          </w:p>
        </w:tc>
      </w:tr>
    </w:tbl>
    <w:p>
      <w:pPr>
        <w:spacing w:before="0" w:after="0"/>
      </w:pPr>
    </w:p>
    <w:p>
      <w:pPr>
        <w:jc w:val="both"/>
        <w:pStyle w:val="Normal"/>
        <w:spacing w:line="240" w:lineRule="auto"/>
      </w:pPr>
      <w:r>
        <w:rPr>
          <w:sz w:val="24"/>
          <w:rFonts w:ascii="Times New Roman" w:hAnsi="Times New Roman"/>
        </w:rPr>
        <w:t>Veći su u odnosu na prethodno razdoblje za 8.784,44 eura ili 15,5%, (u prethodnom razdoblju trošak je knjižen na 19 Rashodi budućih razdoblja, koji se više ne koristi).</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945,08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80,9</w:t>
            </w:r>
          </w:p>
        </w:tc>
      </w:tr>
    </w:tbl>
    <w:p>
      <w:pPr>
        <w:spacing w:before="0" w:after="0"/>
      </w:pPr>
    </w:p>
    <w:p>
      <w:pPr>
        <w:jc w:val="both"/>
        <w:pStyle w:val="Normal"/>
        <w:spacing w:line="240" w:lineRule="auto"/>
      </w:pPr>
      <w:r>
        <w:rPr>
          <w:sz w:val="24"/>
          <w:rFonts w:ascii="Times New Roman" w:hAnsi="Times New Roman"/>
        </w:rPr>
        <w:t>Manja su u odnosu na prethodno razdoblje za 223,64 eura ili 19,1%. </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23.056,93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22.026,26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95,5</w:t>
            </w:r>
          </w:p>
        </w:tc>
      </w:tr>
    </w:tbl>
    <w:p>
      <w:pPr>
        <w:spacing w:before="0" w:after="0"/>
      </w:pPr>
    </w:p>
    <w:p>
      <w:pPr>
        <w:jc w:val="both"/>
        <w:pStyle w:val="Normal"/>
        <w:spacing w:line="240" w:lineRule="auto"/>
      </w:pPr>
      <w:r>
        <w:rPr>
          <w:sz w:val="24"/>
          <w:rFonts w:ascii="Times New Roman" w:hAnsi="Times New Roman"/>
        </w:rPr>
        <w:t>Manje su u odnosu na prethodno razdoblje za 4.021,05 eura ili 15,4% zbog smanjenog broja zaposlenih radnika (u prethodnom razdoblju trošak knjižen na 19 Rashodi budućih razdoblja, koji se više ne koristi).</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1.119,75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130,2</w:t>
            </w:r>
          </w:p>
        </w:tc>
      </w:tr>
    </w:tbl>
    <w:p>
      <w:pPr>
        <w:spacing w:before="0" w:after="0"/>
      </w:pPr>
    </w:p>
    <w:p>
      <w:pPr>
        <w:jc w:val="both"/>
        <w:pStyle w:val="Normal"/>
        <w:spacing w:line="240" w:lineRule="auto"/>
      </w:pPr>
      <w:r>
        <w:rPr>
          <w:sz w:val="24"/>
          <w:rFonts w:ascii="Times New Roman" w:hAnsi="Times New Roman"/>
        </w:rPr>
        <w:t>Veći su u odnosu na prethodno razdoblje za 337,85 eura ili 30,2%, a odnose se na webinare i pretplate za savjetovanja.</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127.041,99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126.467,53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99,5</w:t>
            </w:r>
          </w:p>
        </w:tc>
      </w:tr>
    </w:tbl>
    <w:p>
      <w:pPr>
        <w:spacing w:before="0" w:after="0"/>
      </w:pPr>
    </w:p>
    <w:p>
      <w:pPr>
        <w:jc w:val="both"/>
        <w:pStyle w:val="Normal"/>
        <w:spacing w:line="240" w:lineRule="auto"/>
      </w:pPr>
      <w:r>
        <w:rPr>
          <w:sz w:val="24"/>
          <w:rFonts w:ascii="Times New Roman" w:hAnsi="Times New Roman"/>
        </w:rPr>
        <w:t>Manji su u odnosu na prethodno razdoblje za 574,46 eura ili 0,5%.</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49.970,87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69.913,94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139,9</w:t>
            </w:r>
          </w:p>
        </w:tc>
      </w:tr>
    </w:tbl>
    <w:p>
      <w:pPr>
        <w:spacing w:before="0" w:after="0"/>
      </w:pPr>
    </w:p>
    <w:p>
      <w:pPr>
        <w:jc w:val="both"/>
        <w:pStyle w:val="Normal"/>
        <w:spacing w:line="240" w:lineRule="auto"/>
      </w:pPr>
      <w:r>
        <w:rPr>
          <w:sz w:val="24"/>
          <w:rFonts w:ascii="Times New Roman" w:hAnsi="Times New Roman"/>
        </w:rPr>
        <w:t>Veći su u odnosu na prethodno razdoblje za 19.943,07 eura ili 39,9% zbog ugovora o djelu koji se obračunavaju zbog manjka zaposlenih radnika, imali smo sistematski pregled radnika, zdravstvenih pregleda novih zaposlenika i komunalnih naknada koje su plaćene za cijelu godinu.</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924,06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3.961,36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428,7</w:t>
            </w:r>
          </w:p>
        </w:tc>
      </w:tr>
    </w:tbl>
    <w:p>
      <w:pPr>
        <w:spacing w:before="0" w:after="0"/>
      </w:pPr>
    </w:p>
    <w:p>
      <w:pPr>
        <w:jc w:val="both"/>
        <w:pStyle w:val="Normal"/>
        <w:spacing w:line="240" w:lineRule="auto"/>
      </w:pPr>
      <w:r>
        <w:rPr>
          <w:sz w:val="24"/>
          <w:rFonts w:ascii="Times New Roman" w:hAnsi="Times New Roman"/>
        </w:rPr>
        <w:t>Veći su u odnosu na prethodno razdoblje za 3.037,30 eura ili 328,7% zbog većeg broja sjednica UV-a i plaćena je novčana naknada zbog nezapošljavanja osoba sa invaliditetom za cijelu godinu.</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financijski rashodi (šifre 3431 do 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902,44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1.025,98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113,7</w:t>
            </w:r>
          </w:p>
        </w:tc>
      </w:tr>
    </w:tbl>
    <w:p>
      <w:pPr>
        <w:spacing w:before="0" w:after="0"/>
      </w:pPr>
    </w:p>
    <w:p>
      <w:pPr>
        <w:jc w:val="both"/>
        <w:pStyle w:val="Normal"/>
        <w:spacing w:line="240" w:lineRule="auto"/>
      </w:pPr>
      <w:r>
        <w:rPr>
          <w:sz w:val="24"/>
          <w:rFonts w:ascii="Times New Roman" w:hAnsi="Times New Roman"/>
        </w:rPr>
        <w:t>Veći su u odnosu na prethodno razdoblje za 123,54 eura ili 13,7% zbog većih naknada.</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između proračunskih korisnika istog proračuna (šifre 3691 do 3694)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3.728,15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1.443,39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38,7</w:t>
            </w:r>
          </w:p>
        </w:tc>
      </w:tr>
    </w:tbl>
    <w:p>
      <w:pPr>
        <w:spacing w:before="0" w:after="0"/>
      </w:pPr>
    </w:p>
    <w:p>
      <w:pPr>
        <w:jc w:val="both"/>
        <w:pStyle w:val="Normal"/>
        <w:spacing w:line="240" w:lineRule="auto"/>
      </w:pPr>
      <w:r>
        <w:rPr>
          <w:sz w:val="24"/>
          <w:rFonts w:ascii="Times New Roman" w:hAnsi="Times New Roman"/>
        </w:rPr>
        <w:t>Manji su u odnosu na prethodno razdoblje za 2.284,76 eura ili 61,3%, prihodi od opskrbnina uplaćeni u proračun potrošeni su na ugovore o djelu koji se obračunavaju zbog manjka zaposlenih radnika.</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novcu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4.777,88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6.337,50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132,6</w:t>
            </w:r>
          </w:p>
        </w:tc>
      </w:tr>
    </w:tbl>
    <w:p>
      <w:pPr>
        <w:spacing w:before="0" w:after="0"/>
      </w:pPr>
    </w:p>
    <w:p>
      <w:pPr>
        <w:jc w:val="both"/>
        <w:pStyle w:val="Normal"/>
        <w:spacing w:line="240" w:lineRule="auto"/>
      </w:pPr>
      <w:r>
        <w:rPr>
          <w:sz w:val="24"/>
          <w:rFonts w:ascii="Times New Roman" w:hAnsi="Times New Roman"/>
        </w:rPr>
        <w:t>Veće su odnosu na prethodno razdoblje za 1.559,62 eura ili 32,6% zbog povećanja osnovice za druge naknade u sustavu socijalne skrbi.</w:t>
      </w:r>
    </w:p>
    <w:p/>
    <w:p>
      <w:pPr>
        <w:jc w:val="center"/>
        <w:pStyle w:val="Normal"/>
        <w:spacing w:line="240" w:lineRule="auto"/>
        <w:keepNext/>
      </w:pPr>
      <w:r>
        <w:rPr>
          <w:sz w:val="28"/>
          <w:rFonts w:ascii="Times New Roman" w:hAnsi="Times New Roman"/>
        </w:rPr>
        <w:t>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2.612,85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545,9</w:t>
            </w:r>
          </w:p>
        </w:tc>
      </w:tr>
    </w:tbl>
    <w:p>
      <w:pPr>
        <w:spacing w:before="0" w:after="0"/>
      </w:pPr>
    </w:p>
    <w:p>
      <w:pPr>
        <w:jc w:val="both"/>
        <w:pStyle w:val="Normal"/>
        <w:spacing w:line="240" w:lineRule="auto"/>
      </w:pPr>
      <w:r>
        <w:rPr>
          <w:sz w:val="24"/>
          <w:rFonts w:ascii="Times New Roman" w:hAnsi="Times New Roman"/>
        </w:rPr>
        <w:t>Veće su u odnosu na prethodno razdoblje za 2.134,21 eura ili 445,9%, korisnici Doma bili su na jednodnevnom izletu brodom na Cresu.</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Iskazane obveze na dan 30.06.2025. godine iznose 96.593,06 eura, te se odnose na obveze za rashode plaća za lipanj 2025. godine 66.855,28 eura, obveze po ulaznim računima 15.266,13 eura, dok se 14.471,65 eura odnosi na međusobne obveze proračunskih korisnika.</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9e7b40a88fe644c9" /></Relationships>
</file>